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南开大学关于201</w:t>
      </w:r>
      <w:r>
        <w:rPr>
          <w:rFonts w:hint="eastAsia" w:ascii="黑体" w:eastAsia="黑体"/>
          <w:sz w:val="28"/>
          <w:szCs w:val="28"/>
          <w:lang w:val="en-US" w:eastAsia="zh-CN"/>
        </w:rPr>
        <w:t>9</w:t>
      </w:r>
      <w:r>
        <w:rPr>
          <w:rFonts w:hint="eastAsia" w:ascii="黑体" w:eastAsia="黑体"/>
          <w:sz w:val="28"/>
          <w:szCs w:val="28"/>
        </w:rPr>
        <w:t>-20</w:t>
      </w:r>
      <w:r>
        <w:rPr>
          <w:rFonts w:hint="eastAsia" w:ascii="黑体" w:eastAsia="黑体"/>
          <w:sz w:val="28"/>
          <w:szCs w:val="28"/>
          <w:lang w:val="en-US" w:eastAsia="zh-CN"/>
        </w:rPr>
        <w:t>20</w:t>
      </w:r>
      <w:r>
        <w:rPr>
          <w:rFonts w:hint="eastAsia" w:ascii="黑体" w:eastAsia="黑体"/>
          <w:sz w:val="28"/>
          <w:szCs w:val="28"/>
        </w:rPr>
        <w:t>学年度第</w:t>
      </w:r>
      <w:r>
        <w:rPr>
          <w:rFonts w:hint="eastAsia" w:ascii="黑体" w:eastAsia="黑体"/>
          <w:sz w:val="28"/>
          <w:szCs w:val="28"/>
          <w:lang w:eastAsia="zh-CN"/>
        </w:rPr>
        <w:t>一</w:t>
      </w:r>
      <w:r>
        <w:rPr>
          <w:rFonts w:hint="eastAsia" w:ascii="黑体" w:eastAsia="黑体"/>
          <w:sz w:val="28"/>
          <w:szCs w:val="28"/>
        </w:rPr>
        <w:t>学期</w:t>
      </w:r>
      <w:r>
        <w:rPr>
          <w:rFonts w:hint="eastAsia" w:ascii="黑体" w:eastAsia="黑体"/>
          <w:sz w:val="28"/>
          <w:szCs w:val="28"/>
          <w:lang w:eastAsia="zh-CN"/>
        </w:rPr>
        <w:t>（科学学位）</w:t>
      </w:r>
      <w:r>
        <w:rPr>
          <w:rFonts w:hint="eastAsia" w:ascii="黑体" w:eastAsia="黑体"/>
          <w:sz w:val="28"/>
          <w:szCs w:val="28"/>
        </w:rPr>
        <w:t>研究生</w:t>
      </w:r>
    </w:p>
    <w:p>
      <w:pPr>
        <w:spacing w:line="360" w:lineRule="auto"/>
        <w:jc w:val="center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  <w:lang w:eastAsia="zh-CN"/>
        </w:rPr>
        <w:t>论文</w:t>
      </w:r>
      <w:r>
        <w:rPr>
          <w:rFonts w:hint="eastAsia" w:ascii="黑体" w:eastAsia="黑体"/>
          <w:sz w:val="28"/>
          <w:szCs w:val="28"/>
        </w:rPr>
        <w:t>答辩工作的通知</w:t>
      </w:r>
    </w:p>
    <w:p>
      <w:pPr>
        <w:spacing w:line="360" w:lineRule="auto"/>
        <w:rPr>
          <w:rFonts w:hint="eastAsia"/>
          <w:b/>
          <w:sz w:val="24"/>
        </w:rPr>
      </w:pPr>
    </w:p>
    <w:p>
      <w:pPr>
        <w:spacing w:line="360" w:lineRule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各学院（系、所）：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201</w:t>
      </w:r>
      <w:r>
        <w:rPr>
          <w:sz w:val="24"/>
        </w:rPr>
        <w:t>9</w:t>
      </w:r>
      <w:r>
        <w:rPr>
          <w:rFonts w:hint="eastAsia"/>
          <w:sz w:val="24"/>
        </w:rPr>
        <w:t>-20</w:t>
      </w:r>
      <w:r>
        <w:rPr>
          <w:sz w:val="24"/>
        </w:rPr>
        <w:t>20</w:t>
      </w:r>
      <w:r>
        <w:rPr>
          <w:rFonts w:hint="eastAsia"/>
          <w:sz w:val="24"/>
        </w:rPr>
        <w:t>学年度第一学期（科学学位）研究生论文</w:t>
      </w:r>
      <w:r>
        <w:rPr>
          <w:rFonts w:hint="eastAsia"/>
          <w:sz w:val="24"/>
          <w:lang w:eastAsia="zh-CN"/>
        </w:rPr>
        <w:t>答辩</w:t>
      </w:r>
      <w:r>
        <w:rPr>
          <w:rFonts w:hint="eastAsia"/>
          <w:sz w:val="24"/>
        </w:rPr>
        <w:t xml:space="preserve">工作即将开始，现将有关事项通知如下：（请务必通知到每一位答辩研究生及其导师！） </w:t>
      </w:r>
    </w:p>
    <w:p>
      <w:pPr>
        <w:spacing w:line="360" w:lineRule="auto"/>
        <w:ind w:firstLine="480"/>
        <w:jc w:val="both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本通知涉及的研究生</w:t>
      </w:r>
      <w:r>
        <w:rPr>
          <w:rFonts w:hint="eastAsia"/>
          <w:b/>
          <w:sz w:val="24"/>
          <w:highlight w:val="none"/>
        </w:rPr>
        <w:t>仅包括同时申请毕业证和学位证（即双证）的博士</w:t>
      </w:r>
      <w:r>
        <w:rPr>
          <w:rFonts w:hint="eastAsia"/>
          <w:b/>
          <w:sz w:val="24"/>
        </w:rPr>
        <w:t>研究生，以及科学学位硕士研究生。</w:t>
      </w:r>
    </w:p>
    <w:p>
      <w:pPr>
        <w:spacing w:line="360" w:lineRule="auto"/>
        <w:ind w:firstLine="480"/>
        <w:jc w:val="both"/>
        <w:rPr>
          <w:rFonts w:hint="eastAsia"/>
          <w:b/>
          <w:sz w:val="24"/>
        </w:rPr>
      </w:pP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eastAsia" w:ascii="黑体" w:eastAsia="黑体"/>
          <w:sz w:val="28"/>
          <w:szCs w:val="28"/>
          <w:lang w:eastAsia="zh-CN"/>
        </w:rPr>
      </w:pPr>
      <w:r>
        <w:rPr>
          <w:rFonts w:hint="eastAsia" w:ascii="黑体" w:eastAsia="黑体"/>
          <w:sz w:val="28"/>
          <w:szCs w:val="28"/>
          <w:lang w:eastAsia="zh-CN"/>
        </w:rPr>
        <w:t>博士研究生（双证）论文答辩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eastAsia="黑体"/>
          <w:sz w:val="24"/>
          <w:lang w:eastAsia="zh-CN"/>
        </w:rPr>
      </w:pPr>
      <w:r>
        <w:rPr>
          <w:rFonts w:hint="eastAsia" w:ascii="黑体" w:eastAsia="黑体"/>
          <w:sz w:val="24"/>
          <w:lang w:eastAsia="zh-CN"/>
        </w:rPr>
        <w:t>答辩时间</w:t>
      </w:r>
    </w:p>
    <w:p>
      <w:pPr>
        <w:spacing w:line="360" w:lineRule="auto"/>
        <w:ind w:firstLine="480" w:firstLineChars="200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答辩时间最早不得早于</w:t>
      </w:r>
      <w:r>
        <w:rPr>
          <w:rFonts w:hint="eastAsia"/>
          <w:b/>
          <w:bCs w:val="0"/>
          <w:sz w:val="24"/>
        </w:rPr>
        <w:t>11月17日</w:t>
      </w:r>
      <w:r>
        <w:rPr>
          <w:rFonts w:hint="eastAsia"/>
          <w:b w:val="0"/>
          <w:bCs/>
          <w:sz w:val="24"/>
        </w:rPr>
        <w:t>，最晚不超过</w:t>
      </w:r>
      <w:r>
        <w:rPr>
          <w:rFonts w:hint="eastAsia"/>
          <w:b/>
          <w:bCs w:val="0"/>
          <w:sz w:val="24"/>
        </w:rPr>
        <w:t>11月30日</w:t>
      </w:r>
      <w:r>
        <w:rPr>
          <w:rFonts w:hint="eastAsia"/>
          <w:b w:val="0"/>
          <w:bCs/>
          <w:sz w:val="24"/>
        </w:rPr>
        <w:t>。（由于</w:t>
      </w:r>
      <w:r>
        <w:rPr>
          <w:rFonts w:hint="eastAsia" w:ascii="宋体" w:hAnsi="宋体"/>
          <w:b w:val="0"/>
          <w:bCs/>
          <w:sz w:val="24"/>
        </w:rPr>
        <w:t>“教育部学位与研究生教育评估平台”网上评审周期较长，论文评阅意见反馈较晚，请抽中盲审的博士生答辩时间尽量安排在</w:t>
      </w:r>
      <w:r>
        <w:rPr>
          <w:rFonts w:hint="default" w:ascii="Times New Roman" w:hAnsi="Times New Roman" w:cs="Times New Roman"/>
          <w:b/>
          <w:bCs w:val="0"/>
          <w:sz w:val="24"/>
        </w:rPr>
        <w:t>11月27日</w:t>
      </w:r>
      <w:r>
        <w:rPr>
          <w:rFonts w:hint="eastAsia" w:ascii="宋体" w:hAnsi="宋体"/>
          <w:b w:val="0"/>
          <w:bCs/>
          <w:sz w:val="24"/>
        </w:rPr>
        <w:t>之后</w:t>
      </w:r>
      <w:r>
        <w:rPr>
          <w:rFonts w:hint="eastAsia"/>
          <w:b w:val="0"/>
          <w:bCs/>
          <w:sz w:val="24"/>
        </w:rPr>
        <w:t>）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eastAsia="黑体"/>
          <w:sz w:val="24"/>
          <w:lang w:eastAsia="zh-CN"/>
        </w:rPr>
      </w:pPr>
      <w:r>
        <w:rPr>
          <w:rFonts w:hint="eastAsia" w:ascii="黑体" w:eastAsia="黑体"/>
          <w:sz w:val="24"/>
          <w:lang w:eastAsia="zh-CN"/>
        </w:rPr>
        <w:t>答辩其他相关规定</w:t>
      </w:r>
    </w:p>
    <w:p>
      <w:pPr>
        <w:spacing w:line="440" w:lineRule="exact"/>
        <w:ind w:firstLine="480" w:firstLineChars="200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1．答辩委员会由5～7位专家组成，可聘请本学科、专业和相关学科、专业的博士生导师、教授或副教授以上或相当职称的专家，指导教师和论文评阅人均可参加答辩委员会，并有表决权。答辩委员会成员中</w:t>
      </w:r>
      <w:r>
        <w:rPr>
          <w:rFonts w:hint="default" w:ascii="Times New Roman" w:hAnsi="Times New Roman" w:cs="Times New Roman"/>
          <w:b/>
          <w:sz w:val="24"/>
        </w:rPr>
        <w:t>至少应有两名校外专家</w:t>
      </w:r>
      <w:r>
        <w:rPr>
          <w:rFonts w:hint="default" w:ascii="Times New Roman" w:hAnsi="Times New Roman" w:cs="Times New Roman"/>
          <w:sz w:val="24"/>
        </w:rPr>
        <w:t>，博士生导师人数需占答辩委员的三分之二以上（含三分之二），主席必须由校外博士生导师担任。答辩委员会设秘书（相当于副教授以上）</w:t>
      </w:r>
      <w:r>
        <w:rPr>
          <w:rFonts w:hint="eastAsia" w:cs="Times New Roman"/>
          <w:sz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</w:rPr>
        <w:t>人。</w:t>
      </w:r>
    </w:p>
    <w:p>
      <w:pPr>
        <w:spacing w:line="440" w:lineRule="exact"/>
        <w:ind w:firstLine="480" w:firstLineChars="200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答辩委员会成员名单由院（或系、所）学位评定分委员会批准。</w:t>
      </w:r>
      <w:r>
        <w:rPr>
          <w:rFonts w:hint="default" w:ascii="Times New Roman" w:hAnsi="Times New Roman" w:cs="Times New Roman"/>
          <w:b/>
          <w:sz w:val="24"/>
        </w:rPr>
        <w:t>没有按照规定组成答辩委员会的，答辩结果无效。</w:t>
      </w:r>
    </w:p>
    <w:p>
      <w:pPr>
        <w:spacing w:line="440" w:lineRule="exact"/>
        <w:ind w:firstLine="480" w:firstLineChars="200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2．论文答辩必须提前3天公告。在固定的公告栏或内部网上公示答辩的论文题目、研究的主要问题、答辩人、导师姓名、答辩时间、答辩地点等，允许并欢迎相关教师和研究生旁听。不进行上述公告，不准举行答辩会（保密性论文答辩除外）。</w:t>
      </w:r>
    </w:p>
    <w:p>
      <w:pPr>
        <w:spacing w:line="440" w:lineRule="exact"/>
        <w:ind w:firstLine="480" w:firstLineChars="200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答辩会必须有正式的答辩会场和答辩会标示，明确参加答辩会各类人员的位置，并备有答辩使用的各种设备。答辩会场应留有适当的空间，供旁听人员使用。不符合上述要求者，院（系）主管应监督其改进。</w:t>
      </w:r>
    </w:p>
    <w:p>
      <w:pPr>
        <w:spacing w:line="440" w:lineRule="exact"/>
        <w:ind w:firstLine="480" w:firstLineChars="200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3．论文答辩委员会发扬学术民主，严格把关，以不记名投票方式，至少三分之二委员赞成方为通过答辩，决议经答辩委员会主席签字，报学位评定分委员会。答辩决议应按规定格式要求书写。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4. 论文答辩地点一般须在南开大学校内。</w:t>
      </w:r>
    </w:p>
    <w:p>
      <w:pPr>
        <w:spacing w:line="440" w:lineRule="exact"/>
        <w:ind w:firstLine="480" w:firstLineChars="200"/>
        <w:jc w:val="left"/>
        <w:rPr>
          <w:rFonts w:hint="eastAsia" w:ascii="Times New Roman" w:hAnsi="Times New Roman" w:cs="Times New Roman"/>
          <w:sz w:val="24"/>
          <w:highlight w:val="yellow"/>
          <w:lang w:eastAsia="zh-CN"/>
        </w:rPr>
      </w:pP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eastAsia" w:ascii="黑体" w:eastAsia="黑体"/>
          <w:sz w:val="28"/>
          <w:szCs w:val="28"/>
          <w:lang w:eastAsia="zh-CN"/>
        </w:rPr>
      </w:pPr>
      <w:r>
        <w:rPr>
          <w:rFonts w:hint="eastAsia" w:ascii="黑体" w:eastAsia="黑体"/>
          <w:sz w:val="28"/>
          <w:szCs w:val="28"/>
          <w:lang w:eastAsia="zh-CN"/>
        </w:rPr>
        <w:t>科学学位硕士研究生论文答辩</w:t>
      </w:r>
    </w:p>
    <w:p>
      <w:pPr>
        <w:spacing w:line="360" w:lineRule="auto"/>
        <w:ind w:firstLine="482" w:firstLineChars="2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硕士研究生论文答辩时间最晚时间不得超过201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</w:rPr>
        <w:t>年11月30日。</w:t>
      </w:r>
      <w:r>
        <w:rPr>
          <w:rFonts w:hint="eastAsia"/>
          <w:sz w:val="24"/>
        </w:rPr>
        <w:t>硕士学位论文答辩委员会由3～5人（</w:t>
      </w:r>
      <w:r>
        <w:rPr>
          <w:rFonts w:hint="eastAsia"/>
          <w:b/>
          <w:sz w:val="24"/>
          <w:u w:val="single"/>
        </w:rPr>
        <w:t>有指导教师参加答辩委员会的至少4人</w:t>
      </w:r>
      <w:r>
        <w:rPr>
          <w:rFonts w:hint="eastAsia"/>
          <w:sz w:val="24"/>
        </w:rPr>
        <w:t>）组成；</w:t>
      </w:r>
      <w:r>
        <w:rPr>
          <w:rFonts w:hint="eastAsia"/>
          <w:b/>
          <w:sz w:val="24"/>
          <w:u w:val="single"/>
        </w:rPr>
        <w:t>指导教师可参加答辩委员会，并有表决权，但不得担任答辩委员会主席；</w:t>
      </w:r>
      <w:r>
        <w:rPr>
          <w:rFonts w:hint="eastAsia"/>
          <w:sz w:val="24"/>
        </w:rPr>
        <w:t>答辩委员应具有副教授及以上或相当职称。答辩委员会设答辩秘书（相当讲师以上）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人。答辩委员会名单由本学科学位评定分委员会批准。</w:t>
      </w:r>
      <w:r>
        <w:rPr>
          <w:rFonts w:hint="eastAsia"/>
          <w:b/>
          <w:sz w:val="24"/>
        </w:rPr>
        <w:t>没有按照规定组成答辩委员会的，答辩结果无效。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论文答辩除保密者外，均公开举行。答辩委员会发扬学术民主，严格把关，以不记名投票方式，至少三分之二委员赞成方为通过答辩，决议经答辩委员会主席签字，报本学科学位评定分委员会。论文答辩过程中答辩秘书应进行详细记录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出席论文答辩会的委员不够规定的最低人数时，论文答辩应改期进行；表决时，未出席委员不得会外或委托他人或以通讯的方式投票。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论文答辩地点一般须在南开大学校内。</w:t>
      </w:r>
    </w:p>
    <w:p>
      <w:pPr>
        <w:spacing w:line="360" w:lineRule="auto"/>
        <w:ind w:firstLine="5460" w:firstLineChars="1950"/>
        <w:jc w:val="right"/>
        <w:rPr>
          <w:rFonts w:hint="eastAsia" w:ascii="黑体" w:eastAsia="黑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60" w:firstLineChars="1950"/>
        <w:jc w:val="right"/>
        <w:textAlignment w:val="auto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 xml:space="preserve">研究生院培养办公室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0" w:firstLineChars="2000"/>
        <w:jc w:val="right"/>
        <w:textAlignment w:val="auto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201</w:t>
      </w:r>
      <w:r>
        <w:rPr>
          <w:rFonts w:hint="eastAsia" w:ascii="黑体" w:eastAsia="黑体"/>
          <w:sz w:val="28"/>
          <w:szCs w:val="28"/>
          <w:lang w:val="en-US" w:eastAsia="zh-CN"/>
        </w:rPr>
        <w:t>9</w:t>
      </w:r>
      <w:r>
        <w:rPr>
          <w:rFonts w:hint="eastAsia" w:ascii="黑体" w:eastAsia="黑体"/>
          <w:sz w:val="28"/>
          <w:szCs w:val="28"/>
        </w:rPr>
        <w:t>年</w:t>
      </w:r>
      <w:r>
        <w:rPr>
          <w:rFonts w:hint="eastAsia" w:ascii="黑体" w:eastAsia="黑体"/>
          <w:sz w:val="28"/>
          <w:szCs w:val="28"/>
          <w:lang w:val="en-US" w:eastAsia="zh-CN"/>
        </w:rPr>
        <w:t>10</w:t>
      </w:r>
      <w:r>
        <w:rPr>
          <w:rFonts w:hint="eastAsia" w:ascii="黑体" w:eastAsia="黑体"/>
          <w:sz w:val="28"/>
          <w:szCs w:val="28"/>
        </w:rPr>
        <w:t>月</w:t>
      </w:r>
      <w:r>
        <w:rPr>
          <w:rFonts w:hint="eastAsia" w:ascii="黑体" w:eastAsia="黑体"/>
          <w:sz w:val="28"/>
          <w:szCs w:val="28"/>
          <w:lang w:val="en-US" w:eastAsia="zh-CN"/>
        </w:rPr>
        <w:t>21</w:t>
      </w:r>
      <w:bookmarkStart w:id="0" w:name="_GoBack"/>
      <w:bookmarkEnd w:id="0"/>
      <w:r>
        <w:rPr>
          <w:rFonts w:hint="eastAsia" w:ascii="黑体" w:eastAsia="黑体"/>
          <w:sz w:val="28"/>
          <w:szCs w:val="28"/>
        </w:rPr>
        <w:t>日</w:t>
      </w:r>
    </w:p>
    <w:p>
      <w:pPr>
        <w:numPr>
          <w:ilvl w:val="0"/>
          <w:numId w:val="0"/>
        </w:numPr>
        <w:spacing w:line="360" w:lineRule="auto"/>
        <w:rPr>
          <w:rFonts w:hint="eastAsia" w:ascii="黑体" w:eastAsia="黑体"/>
          <w:sz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黑体" w:eastAsia="黑体"/>
          <w:sz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黑体" w:eastAsia="黑体"/>
          <w:sz w:val="28"/>
          <w:szCs w:val="28"/>
          <w:lang w:eastAsia="zh-CN"/>
        </w:rPr>
      </w:pPr>
    </w:p>
    <w:p>
      <w:pPr>
        <w:spacing w:line="360" w:lineRule="auto"/>
        <w:ind w:firstLine="480"/>
        <w:jc w:val="both"/>
        <w:rPr>
          <w:rFonts w:hint="eastAsia"/>
          <w:b/>
          <w:sz w:val="24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709D92"/>
    <w:multiLevelType w:val="singleLevel"/>
    <w:tmpl w:val="AF709D9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F7640C8"/>
    <w:multiLevelType w:val="singleLevel"/>
    <w:tmpl w:val="DF7640C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2C3C21"/>
    <w:rsid w:val="0B895A00"/>
    <w:rsid w:val="121A2AB2"/>
    <w:rsid w:val="21B06FEB"/>
    <w:rsid w:val="487A172A"/>
    <w:rsid w:val="4FF1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2019-10-17T02:21:00Z</dcterms:created>
  <dc:creator>Administrator</dc:creator>
  <cp:lastModifiedBy>Administrator</cp:lastModifiedBy>
  <dcterms:modified xsi:type="dcterms:W3CDTF">2019-10-21T02:50:16Z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